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eastAsia="SimSun" w:cs="Times New Roman"/>
          <w:b/>
          <w:bCs/>
          <w:i w:val="0"/>
          <w:caps w:val="0"/>
          <w:color w:val="353535"/>
          <w:spacing w:val="0"/>
          <w:kern w:val="0"/>
          <w:sz w:val="28"/>
          <w:szCs w:val="28"/>
          <w:bdr w:val="none" w:color="auto" w:sz="0" w:space="0"/>
          <w:shd w:val="clear" w:fill="FFFFFF"/>
          <w:vertAlign w:val="baseline"/>
          <w:lang w:val="en-US" w:eastAsia="zh-CN" w:bidi="ar"/>
        </w:rPr>
      </w:pPr>
      <w:r>
        <w:rPr>
          <w:rFonts w:hint="default" w:ascii="Times New Roman" w:hAnsi="Times New Roman" w:eastAsia="SimSun" w:cs="Times New Roman"/>
          <w:b/>
          <w:bCs/>
          <w:i w:val="0"/>
          <w:caps w:val="0"/>
          <w:color w:val="353535"/>
          <w:spacing w:val="0"/>
          <w:kern w:val="0"/>
          <w:sz w:val="28"/>
          <w:szCs w:val="28"/>
          <w:bdr w:val="none" w:color="auto" w:sz="0" w:space="0"/>
          <w:shd w:val="clear" w:fill="FFFFFF"/>
          <w:vertAlign w:val="baseline"/>
          <w:lang w:val="en-US" w:eastAsia="zh-CN" w:bidi="ar"/>
        </w:rPr>
        <w:t>Chỉ thị số 05-CT/TW ngày 15/5/2016 của Bộ Chính trị về đẩy mạnh học tập và làm theo tư tưởng, đạo đức, phong cách Hồ Chí Minh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imes New Roman" w:hAnsi="Times New Roman" w:eastAsia="SimSun" w:cs="Times New Roman"/>
          <w:b/>
          <w:bCs/>
          <w:i w:val="0"/>
          <w:caps w:val="0"/>
          <w:color w:val="353535"/>
          <w:spacing w:val="0"/>
          <w:kern w:val="0"/>
          <w:sz w:val="28"/>
          <w:szCs w:val="28"/>
          <w:bdr w:val="none" w:color="auto" w:sz="0" w:space="0"/>
          <w:shd w:val="clear" w:fill="FFFFFF"/>
          <w:vertAlign w:val="baseline"/>
          <w:lang w:val="en-US" w:eastAsia="zh-CN" w:bidi="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jc w:val="both"/>
        <w:textAlignment w:val="baseline"/>
        <w:rPr>
          <w:rFonts w:hint="default" w:ascii="Times New Roman" w:hAnsi="Times New Roman" w:cs="Times New Roman"/>
          <w:b w:val="0"/>
          <w:bCs/>
          <w:sz w:val="28"/>
          <w:szCs w:val="28"/>
        </w:rPr>
      </w:pPr>
      <w:r>
        <w:rPr>
          <w:rFonts w:hint="default" w:ascii="Times New Roman" w:hAnsi="Times New Roman" w:cs="Times New Roman"/>
          <w:b w:val="0"/>
          <w:bCs/>
          <w:i w:val="0"/>
          <w:caps w:val="0"/>
          <w:color w:val="353535"/>
          <w:spacing w:val="0"/>
          <w:sz w:val="28"/>
          <w:szCs w:val="28"/>
          <w:bdr w:val="none" w:color="auto" w:sz="0" w:space="0"/>
          <w:shd w:val="clear" w:fill="FFFFFF"/>
          <w:vertAlign w:val="baseline"/>
        </w:rPr>
        <w:t>Ngày 15/5/2016, Tổng Bí thư Nguyễn Phú Trọng đã ký ban hành Chỉ thị số 05-CT/TW của Bộ Chính trị về đẩy mạnh học tập và làm theo tư tưởng, đạo đức, phong cách Hồ Chí Minh. Trang tin Dân vận trân trọng giới thiệu Toàn văn Chỉ thị.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Sau 5 năm thực hiện Chỉ thị số 03-CT/TW của Bộ Chính trị khóa XI về "Tiếp tục đẩy mạnh học tập và làm theo tấm gương đạo đức Hồ Chí Minh" đã đạt được kết quả bước đầu, góp phần quan trọng vào việc thực hiện thắng lợi Nghị quyết Đại hội đại biểu toàn quốc lần thứ XI của Đảng và Nghị quyết Trung ương 4 khóa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tổ chức đảng, cơ quan, địa phương, đơn vị và một bộ phận cán bộ, đảng viên.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Thực hiện Nghị quyết Đại hội đại biểu toàn quốc lần thứ XII của Đảng, phát huy những kết quả đã đạt được, khắc phục những hạn chế trong việc thực hiện Chỉ thị số 03-CT/TW của Bộ Chính trị khóa XI về "Tiếp tục đẩy mạnh học tập và làm theo tấm gương đạo đức Hồ Chí Minh", Bộ Chính trị yêu cầu các cấp ủy, tổ chức đảng, chính quyền, tổ chức chính trị - xã hội các cấp quán triệt và thực hiện tốt một số nội dung sau: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1-</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ủy, tổ chức đảng, chính quyền, Mặt trận Tổ quốc Việt Nam và tổ chức chính trị - xã hội các cấp, của từng địa phương, cơ quan, đơn vị, trước hết là của người đứng đầu, của cán bộ, đảng viên, công chức, viên chức, đoàn viên, hội viên.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hóa" trong nội bộ, đẩy mạnh đấu tranh phòng, chống tham nhũng, lãng phí, quan liêu.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2-</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Đó là hệ thống quan điểm, tư tưởng Hồ Chí Minh về</w:t>
      </w:r>
      <w:r>
        <w:rPr>
          <w:rFonts w:hint="default" w:ascii="Times New Roman" w:hAnsi="Times New Roman" w:cs="Times New Roman"/>
          <w:i w:val="0"/>
          <w:caps w:val="0"/>
          <w:color w:val="000000"/>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của dân, do dân, vì dân; về quốc phòng toàn dân, an ninh nhân dân, xây dựng lực lượng vũ trang nhân dân; về xây dựng, phát triển kinh tế và văn hóa, không ngừng nâng cao đời sống vật chất, tinh thần của nhân dân; về đạo đức cách mạng; về chăm lo, bồi dưỡng thế hệ cách mạng cho đời sau; về xây dựng Đảng,...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Đó là các quan điểm và tấm gương đạo đức Hồ Chí Minh về: tuyệt đối trung thành, kiên định</w:t>
      </w:r>
      <w:r>
        <w:rPr>
          <w:rFonts w:hint="default" w:ascii="Times New Roman" w:hAnsi="Times New Roman" w:cs="Times New Roman"/>
          <w:i w:val="0"/>
          <w:caps w:val="0"/>
          <w:color w:val="000000"/>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lý tưởng cách mạng, đặt lợi ích của Đảng, của đất nước, dân tộc lên trên tất cả; hết lòng, hết sức phục vụ Tổ quốc, phụng sự nhân dân, tận trung với nước, tận hiếu với dân; hết lòng yêu thương đồng bào, đồng chí, yêu thương con người; cần, kiệm, liêm chính, chí công vô tư, thật sự là công bộc của nhân dân, kiên quyết chống chủ nghĩa cá nhân, cơ hội,...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Đó là phong cách Hồ Chí Minh, phản ánh những giá trị cốt lõi trong tư tưởng, đạo đức của Người và được thể hiện vô cùng sinh động, tự nhiên, độc đáo, có sức thu hút, cảm hóa kỳ diệu trong hoạt động, ứng xử hằng ngày. Đó là: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3-</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Đưa việc học tập và làm theo tư tưởng, đạo đức, phong cách Hồ Chí Minh vào chương trình, kế hoạch hành động thực hiện Nghị quyết Đại hội XII của Đảng, nghị quyết của cấp ủy và nội dung sinh hoạt thường xuyên của chi bộ, gắn với các cuộc vận động, các phong trào thi đua yêu nước, với việc thực hiện nhiệm vụ chính trị và giải quyết các vấn đề bức xúc, nổi cộm ở từng địa phương, cơ quan, đơn vị; gắn với việc xây dựng và phát triển văn hoá, con người Việt Nam, xây dựng hệ giá trị văn hóa và hệ giá trị chuẩn mực của con người Việt Nam thời kỳ đẩy mạnh công nghiệp hóa, hiện đại hóa và hội nhập quốc tế.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Lấy kết quả học tập và làm theo tư tưởng, đạo đức, phong cách Hồ Chí Minh là một trong những tiêu chuẩn đánh giá, bình xét, phân loại đảng viên, tổ chức đảng hằng năm.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4-</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Lãnh đạo, chỉ đạo chặt chẽ việc triển khai thực hiện theo phương châm trên trước, dưới sau; trong trước, ngoài sau; học đi đôi với làm theo, chú trọng việc làm theo bằng những hành động và việc làm cụ thể. Xây dựng, tổng kết và nhân rộng những điển hình tiên tiến về làm theo tư tưởng, đạo đức và phong cách Hồ Chí Minh, kết hợp giữa "xây" với "chống".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Đề cao trách nhiệm nêu gương, tự giác học trước, làm theo trước để nêu gương của người đứng đầu và cán bộ chủ chốt các cấp, của cán bộ, đảng viên trong học tập và làm theo tư tưởng, đạo đức, phong cách Hồ Chí Minh.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Tăng cường công tác kiểm tra,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5-</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Tiếp tục chỉ đạo biên soạn chương trình, giáo trình về tư tưởng, đạo đức, phong cách Hồ Chí Minh để giảng dạy trong hệ thống giáo dục quốc dân và các học viện, trường chính trị, trường đào tạo, bồi dưỡng cán bộ các cấp, bảo đảm phù hợp với từng cấp học, bậc học và với yêu cầu giáo dục, đào tạo.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Đối với 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Style w:val="4"/>
          <w:rFonts w:hint="default" w:ascii="Times New Roman" w:hAnsi="Times New Roman" w:cs="Times New Roman"/>
          <w:i w:val="0"/>
          <w:caps w:val="0"/>
          <w:color w:val="000000"/>
          <w:spacing w:val="0"/>
          <w:sz w:val="28"/>
          <w:szCs w:val="28"/>
          <w:bdr w:val="none" w:color="auto" w:sz="0" w:space="0"/>
          <w:shd w:val="clear" w:fill="FAFAFA"/>
          <w:vertAlign w:val="baseline"/>
        </w:rPr>
        <w:t>6-</w:t>
      </w:r>
      <w:r>
        <w:rPr>
          <w:rFonts w:hint="default" w:ascii="Times New Roman" w:hAnsi="Times New Roman" w:cs="Times New Roman"/>
          <w:i w:val="0"/>
          <w:caps w:val="0"/>
          <w:color w:val="111111"/>
          <w:spacing w:val="0"/>
          <w:sz w:val="28"/>
          <w:szCs w:val="28"/>
          <w:bdr w:val="none" w:color="auto" w:sz="0" w:space="0"/>
          <w:shd w:val="clear" w:fill="FAFAFA"/>
          <w:vertAlign w:val="baseline"/>
        </w:rPr>
        <w:t> </w:t>
      </w:r>
      <w:r>
        <w:rPr>
          <w:rFonts w:hint="default" w:ascii="Times New Roman" w:hAnsi="Times New Roman" w:cs="Times New Roman"/>
          <w:i w:val="0"/>
          <w:caps w:val="0"/>
          <w:color w:val="000000"/>
          <w:spacing w:val="0"/>
          <w:sz w:val="28"/>
          <w:szCs w:val="28"/>
          <w:bdr w:val="none" w:color="auto" w:sz="0" w:space="0"/>
          <w:shd w:val="clear" w:fill="FAFAFA"/>
          <w:vertAlign w:val="baseline"/>
        </w:rPr>
        <w:t>Về tổ chức thực hiện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Việc học tập và làm theo tư tưởng, đạo đức, phong cách Hồ Chí Minh do cấp ủy các cấp, trực tiếp là ban thường vụ cấp ủy, đồng chí bí thư cấp ủy chỉ đạo.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Ban Bí thư Trung ương Đảng, đồng chí Tổng Bí thư chỉ đạo việc học tập và làm theo tư tưởng, đạo đức, phong cách Hồ Chí Minh trong toàn Đảng và xã hội.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Căn cứ Chỉ thị của Bộ Chính trị, các tỉnh ủy, thành ủy, ban cán sự đảng, đảng đoàn, đảng ủy trực thuộc Trung ương lãnh đạo, chỉ đạo tổ chức và hướng dẫn việc thường xuyên học tập và làm theo tư tưởng, đạo đức, phong cách Hồ Chí Minh ở địa phương, ngành, tổ chức, cơ quan, đơn vị mình.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Ban Tuyên giáo Trung ương là cơ quan giúp việc Bộ Chính trị, Ban Bí thư Trung ương Đảng chỉ đạo tổ chức thực hiện Chỉ thị của Bộ Chính trị; ban tuyên giáo cấp ủy và cơ quan tuyên giáo các ngành, đoàn thể là cơ quan giúp việc cấp ủy và lãnh đạo các ngành, đoàn thể cùng cấp chỉ đạo tổ chức thực hiện Chỉ thị của Bộ Chính trị.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Ban Tuyên giáo Trung ương chủ trì, phối hợp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ủy,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khoá trình Ban Bí thư ban hành; chỉ đạo các cơ quan thông tin đại chúng, đội ngũ báo cáo viên tuyên truyền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210" w:afterAutospacing="0" w:line="15" w:lineRule="atLeast"/>
        <w:ind w:left="0" w:right="0"/>
        <w:jc w:val="both"/>
        <w:textAlignment w:val="baseline"/>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bdr w:val="none" w:color="auto" w:sz="0" w:space="0"/>
          <w:shd w:val="clear" w:fill="FAFAFA"/>
          <w:vertAlign w:val="baseline"/>
        </w:rPr>
        <w:t>Chỉ thị này phổ biến đến chi bộ./.</w:t>
      </w:r>
    </w:p>
    <w:p>
      <w:pPr>
        <w:rPr>
          <w:rFonts w:hint="default" w:ascii="Times New Roman" w:hAnsi="Times New Roman" w:cs="Times New Roman"/>
          <w:sz w:val="28"/>
          <w:szCs w:val="28"/>
        </w:rPr>
      </w:pPr>
    </w:p>
    <w:sectPr>
      <w:pgSz w:w="11906" w:h="16838"/>
      <w:pgMar w:top="1134" w:right="1134" w:bottom="1134"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C79AB"/>
    <w:rsid w:val="241C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2020-10-28T15:40:00Z</dcterms:created>
  <dc:creator>ASUS</dc:creator>
  <cp:lastModifiedBy>ASUS</cp:lastModifiedBy>
  <dcterms:modified xsi:type="dcterms:W3CDTF">2020-10-28T15:41:46Z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